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EB89" w14:textId="04F914F0" w:rsidR="00D12D58" w:rsidRDefault="00D12D58" w:rsidP="00D12D58">
      <w:pPr>
        <w:spacing w:after="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Scott County Fiscal Court held a meeting on Thursday, June 26, 2025. Judge Covington called the meeting to order. Present were Magistrates </w:t>
      </w:r>
      <w:r w:rsidRPr="00B868EE">
        <w:rPr>
          <w:rFonts w:ascii="Garamond" w:hAnsi="Garamond"/>
          <w:sz w:val="28"/>
          <w:szCs w:val="28"/>
        </w:rPr>
        <w:t>Mr. Hostetler, Mr. Jones, Mr. Corman, Mr. Ellison, Mr. Pratt</w:t>
      </w:r>
      <w:r>
        <w:rPr>
          <w:rFonts w:ascii="Garamond" w:hAnsi="Garamond"/>
          <w:sz w:val="28"/>
          <w:szCs w:val="28"/>
        </w:rPr>
        <w:t>, and Assistant County Attorney, Ben Willis.</w:t>
      </w:r>
    </w:p>
    <w:p w14:paraId="35F187F8" w14:textId="3894B223" w:rsidR="00D12D58" w:rsidRPr="00D12D58" w:rsidRDefault="00D12D58" w:rsidP="00D12D58">
      <w:pPr>
        <w:spacing w:after="160" w:line="252" w:lineRule="auto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 w:rsidRPr="00D12D58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A motion was made by Mr.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Ellison</w:t>
      </w:r>
      <w:r w:rsidRPr="00D12D58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with second by Mr. Jones to approve the previous meeting minutes</w:t>
      </w:r>
      <w:r w:rsidRPr="00D12D58">
        <w:rPr>
          <w:rFonts w:ascii="Garamond" w:eastAsia="Arial Unicode MS" w:hAnsi="Garamond" w:cs="Arial Unicode MS"/>
          <w:kern w:val="0"/>
          <w:sz w:val="24"/>
          <w:szCs w:val="24"/>
          <w14:ligatures w14:val="none"/>
        </w:rPr>
        <w:t>.</w:t>
      </w:r>
      <w:r w:rsidRPr="00D12D58">
        <w:rPr>
          <w:rFonts w:ascii="Garamond" w:eastAsia="Arial Unicode MS" w:hAnsi="Garamond" w:cs="Arial Unicode MS"/>
          <w:color w:val="595959" w:themeColor="text1" w:themeTint="A6"/>
          <w:kern w:val="0"/>
          <w:sz w:val="28"/>
          <w:szCs w:val="28"/>
          <w14:ligatures w14:val="none"/>
        </w:rPr>
        <w:t xml:space="preserve"> </w:t>
      </w:r>
      <w:r w:rsidRPr="00D12D58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Court voted unanimous.</w:t>
      </w:r>
    </w:p>
    <w:p w14:paraId="0DF9FC81" w14:textId="41DC37AD" w:rsidR="00D12D58" w:rsidRPr="00D12D58" w:rsidRDefault="00D12D58" w:rsidP="00D12D58">
      <w:pPr>
        <w:spacing w:after="160" w:line="252" w:lineRule="auto"/>
        <w:rPr>
          <w:rFonts w:ascii="Garamond" w:hAnsi="Garamond"/>
          <w:kern w:val="0"/>
          <w:sz w:val="28"/>
          <w:szCs w:val="28"/>
          <w14:ligatures w14:val="none"/>
        </w:rPr>
      </w:pPr>
      <w:r w:rsidRPr="00D12D58">
        <w:rPr>
          <w:rFonts w:ascii="Garamond" w:hAnsi="Garamond"/>
          <w:kern w:val="0"/>
          <w:sz w:val="28"/>
          <w:szCs w:val="28"/>
          <w14:ligatures w14:val="none"/>
        </w:rPr>
        <w:t xml:space="preserve">A motion was made by Mr. Hostetler with second by Mr. </w:t>
      </w:r>
      <w:r>
        <w:rPr>
          <w:rFonts w:ascii="Garamond" w:hAnsi="Garamond"/>
          <w:kern w:val="0"/>
          <w:sz w:val="28"/>
          <w:szCs w:val="28"/>
          <w14:ligatures w14:val="none"/>
        </w:rPr>
        <w:t>Ellison</w:t>
      </w:r>
      <w:r w:rsidRPr="00D12D58">
        <w:rPr>
          <w:rFonts w:ascii="Garamond" w:hAnsi="Garamond"/>
          <w:kern w:val="0"/>
          <w:sz w:val="28"/>
          <w:szCs w:val="28"/>
          <w14:ligatures w14:val="none"/>
        </w:rPr>
        <w:t xml:space="preserve"> to approve the attached transfers. Court voted unanimous. </w:t>
      </w:r>
    </w:p>
    <w:p w14:paraId="4A58984F" w14:textId="4134CFDB" w:rsidR="00D12D58" w:rsidRDefault="00D12D58" w:rsidP="00D12D58">
      <w:pPr>
        <w:spacing w:after="160" w:line="252" w:lineRule="auto"/>
        <w:rPr>
          <w:rFonts w:ascii="Garamond" w:hAnsi="Garamond"/>
          <w:sz w:val="26"/>
          <w:szCs w:val="26"/>
        </w:rPr>
      </w:pPr>
      <w:r w:rsidRPr="00D12D58">
        <w:rPr>
          <w:rFonts w:ascii="Garamond" w:hAnsi="Garamond"/>
          <w:sz w:val="28"/>
          <w:szCs w:val="28"/>
        </w:rPr>
        <w:t xml:space="preserve">A motion was made by Mr. Pratt with second by Mr. </w:t>
      </w:r>
      <w:r>
        <w:rPr>
          <w:rFonts w:ascii="Garamond" w:hAnsi="Garamond"/>
          <w:sz w:val="28"/>
          <w:szCs w:val="28"/>
        </w:rPr>
        <w:t>Jones</w:t>
      </w:r>
      <w:r w:rsidRPr="00D12D58">
        <w:rPr>
          <w:rFonts w:ascii="Garamond" w:hAnsi="Garamond"/>
          <w:sz w:val="28"/>
          <w:szCs w:val="28"/>
        </w:rPr>
        <w:t xml:space="preserve"> to approve the bills as presented and the following hand checks. Court voted unanimous.</w:t>
      </w:r>
      <w:r w:rsidRPr="00D12D58">
        <w:rPr>
          <w:rFonts w:ascii="Garamond" w:hAnsi="Garamond"/>
          <w:sz w:val="28"/>
          <w:szCs w:val="28"/>
        </w:rPr>
        <w:br/>
      </w:r>
      <w:r w:rsidRPr="00D12D58">
        <w:rPr>
          <w:rFonts w:ascii="Garamond" w:hAnsi="Garamond"/>
          <w:sz w:val="26"/>
          <w:szCs w:val="26"/>
        </w:rPr>
        <w:t>Jail Fund/ General $</w:t>
      </w:r>
      <w:r>
        <w:rPr>
          <w:rFonts w:ascii="Garamond" w:hAnsi="Garamond"/>
          <w:sz w:val="26"/>
          <w:szCs w:val="26"/>
        </w:rPr>
        <w:t>95</w:t>
      </w:r>
      <w:r w:rsidRPr="00D12D58">
        <w:rPr>
          <w:rFonts w:ascii="Garamond" w:hAnsi="Garamond"/>
          <w:sz w:val="26"/>
          <w:szCs w:val="26"/>
        </w:rPr>
        <w:t>,000.00, Road Fund/ General $100,000.00, Capital Fund/ General $</w:t>
      </w:r>
      <w:r>
        <w:rPr>
          <w:rFonts w:ascii="Garamond" w:hAnsi="Garamond"/>
          <w:sz w:val="26"/>
          <w:szCs w:val="26"/>
        </w:rPr>
        <w:t>200,0</w:t>
      </w:r>
      <w:r w:rsidRPr="00D12D58">
        <w:rPr>
          <w:rFonts w:ascii="Garamond" w:hAnsi="Garamond"/>
          <w:sz w:val="26"/>
          <w:szCs w:val="26"/>
        </w:rPr>
        <w:t>00</w:t>
      </w:r>
      <w:r>
        <w:rPr>
          <w:rFonts w:ascii="Garamond" w:hAnsi="Garamond"/>
          <w:sz w:val="26"/>
          <w:szCs w:val="26"/>
        </w:rPr>
        <w:t>.00,</w:t>
      </w:r>
      <w:r w:rsidRPr="00D12D58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General Fund/ ABC $10,497.63, General Fund/ Opioid Settlement $30,796.48</w:t>
      </w:r>
    </w:p>
    <w:p w14:paraId="6256211D" w14:textId="30490D82" w:rsidR="00D12D58" w:rsidRDefault="00D12D58" w:rsidP="00D12D58">
      <w:pPr>
        <w:spacing w:after="160" w:line="252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EMA Director, Michael Hennigan </w:t>
      </w:r>
      <w:r w:rsidR="00CC1325">
        <w:rPr>
          <w:rFonts w:ascii="Garamond" w:hAnsi="Garamond"/>
          <w:sz w:val="28"/>
          <w:szCs w:val="28"/>
        </w:rPr>
        <w:t xml:space="preserve">presented an agreement with Baron Threat Net for weather software and radar information. The subscription is </w:t>
      </w:r>
      <w:r w:rsidR="00CC1325" w:rsidRPr="00964FDC">
        <w:rPr>
          <w:rFonts w:ascii="Garamond" w:hAnsi="Garamond"/>
          <w:sz w:val="27"/>
          <w:szCs w:val="27"/>
        </w:rPr>
        <w:t>$5,000.00</w:t>
      </w:r>
      <w:r w:rsidR="00CC1325">
        <w:rPr>
          <w:rFonts w:ascii="Garamond" w:hAnsi="Garamond"/>
          <w:sz w:val="28"/>
          <w:szCs w:val="28"/>
        </w:rPr>
        <w:t xml:space="preserve"> for one year. A motion was made by Mr. Ellison with second by Mr. Hostetler to approve the agreement. Court voted unanimous. </w:t>
      </w:r>
    </w:p>
    <w:p w14:paraId="4BAB8781" w14:textId="46A9D956" w:rsidR="00CC1325" w:rsidRDefault="00CC1325" w:rsidP="00D12D58">
      <w:pPr>
        <w:spacing w:after="160" w:line="252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Mr. Hennigan requested permission to attend training in New Mexico in October. </w:t>
      </w:r>
      <w:r w:rsidR="00CC49C6">
        <w:rPr>
          <w:rFonts w:ascii="Garamond" w:hAnsi="Garamond"/>
          <w:sz w:val="28"/>
          <w:szCs w:val="28"/>
        </w:rPr>
        <w:t xml:space="preserve">There is no cost to the county. A motion was made by Mr. </w:t>
      </w:r>
      <w:r w:rsidR="00BB4E12">
        <w:rPr>
          <w:rFonts w:ascii="Garamond" w:hAnsi="Garamond"/>
          <w:sz w:val="28"/>
          <w:szCs w:val="28"/>
        </w:rPr>
        <w:t xml:space="preserve">Jones with second by Mr. Pratt to approve the out of state travel. Court voted unanimous. </w:t>
      </w:r>
    </w:p>
    <w:p w14:paraId="0D559DD0" w14:textId="3E49DB9F" w:rsidR="00BB4E12" w:rsidRDefault="00964FDC" w:rsidP="00D12D58">
      <w:pPr>
        <w:spacing w:after="160" w:line="252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Sheriff, Jeremy Nettles presented a </w:t>
      </w:r>
      <w:r w:rsidRPr="00964FDC">
        <w:rPr>
          <w:rFonts w:ascii="Garamond" w:hAnsi="Garamond"/>
          <w:sz w:val="26"/>
          <w:szCs w:val="26"/>
        </w:rPr>
        <w:t>COPS</w:t>
      </w:r>
      <w:r>
        <w:rPr>
          <w:rFonts w:ascii="Garamond" w:hAnsi="Garamond"/>
          <w:sz w:val="28"/>
          <w:szCs w:val="28"/>
        </w:rPr>
        <w:t xml:space="preserve"> grant opportunity. The hiring grant, if awarded, would pay </w:t>
      </w:r>
      <w:r w:rsidRPr="00964FDC">
        <w:rPr>
          <w:rFonts w:ascii="Garamond" w:hAnsi="Garamond"/>
          <w:sz w:val="27"/>
          <w:szCs w:val="27"/>
        </w:rPr>
        <w:t>$250,000.00</w:t>
      </w:r>
      <w:r>
        <w:rPr>
          <w:rFonts w:ascii="Garamond" w:hAnsi="Garamond"/>
          <w:sz w:val="28"/>
          <w:szCs w:val="28"/>
        </w:rPr>
        <w:t xml:space="preserve"> toward two officers over three years of the </w:t>
      </w:r>
      <w:r w:rsidR="00DF321B">
        <w:rPr>
          <w:rFonts w:ascii="Garamond" w:hAnsi="Garamond"/>
          <w:sz w:val="28"/>
          <w:szCs w:val="28"/>
        </w:rPr>
        <w:t>five-year</w:t>
      </w:r>
      <w:r>
        <w:rPr>
          <w:rFonts w:ascii="Garamond" w:hAnsi="Garamond"/>
          <w:sz w:val="28"/>
          <w:szCs w:val="28"/>
        </w:rPr>
        <w:t xml:space="preserve"> grant period. A motion was made by Mr. Pratt with second by Mr. Hostetler to approve application. Court voted unanimous.</w:t>
      </w:r>
    </w:p>
    <w:p w14:paraId="17128AAB" w14:textId="0F04DF8C" w:rsidR="00964FDC" w:rsidRDefault="00964FDC" w:rsidP="00964FDC">
      <w:pPr>
        <w:pStyle w:val="Body"/>
        <w:spacing w:after="160" w:line="259" w:lineRule="auto"/>
        <w:rPr>
          <w:rFonts w:ascii="Garamond" w:eastAsia="Calibri" w:hAnsi="Garamond" w:cstheme="minorHAnsi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Sheriff Nettles </w:t>
      </w:r>
      <w:r>
        <w:rPr>
          <w:rFonts w:ascii="Garamond" w:eastAsia="Calibri" w:hAnsi="Garamond" w:cstheme="minorHAnsi"/>
          <w:sz w:val="28"/>
          <w:szCs w:val="28"/>
        </w:rPr>
        <w:t xml:space="preserve">requested to purchase a </w:t>
      </w:r>
      <w:r w:rsidRPr="00964FDC">
        <w:rPr>
          <w:rFonts w:ascii="Garamond" w:eastAsia="Calibri" w:hAnsi="Garamond" w:cstheme="minorHAnsi"/>
          <w:sz w:val="27"/>
          <w:szCs w:val="27"/>
        </w:rPr>
        <w:t>2025</w:t>
      </w:r>
      <w:r>
        <w:rPr>
          <w:rFonts w:ascii="Garamond" w:eastAsia="Calibri" w:hAnsi="Garamond" w:cstheme="minorHAnsi"/>
          <w:sz w:val="28"/>
          <w:szCs w:val="28"/>
        </w:rPr>
        <w:t xml:space="preserve"> Ford Explorer to replace a </w:t>
      </w:r>
      <w:r w:rsidRPr="00964FDC">
        <w:rPr>
          <w:rFonts w:ascii="Garamond" w:eastAsia="Calibri" w:hAnsi="Garamond" w:cstheme="minorHAnsi"/>
          <w:sz w:val="27"/>
          <w:szCs w:val="27"/>
        </w:rPr>
        <w:t>2016</w:t>
      </w:r>
      <w:r>
        <w:rPr>
          <w:rFonts w:ascii="Garamond" w:eastAsia="Calibri" w:hAnsi="Garamond" w:cstheme="minorHAnsi"/>
          <w:sz w:val="28"/>
          <w:szCs w:val="28"/>
        </w:rPr>
        <w:t xml:space="preserve"> Dodge Charger which was declared a total loss in a recent accident. A motion was made by Mr. Hostetler with second by Mr. Pratt to approve the purchase. Court voted unanimous. </w:t>
      </w:r>
    </w:p>
    <w:p w14:paraId="40E0529C" w14:textId="78CE0422" w:rsidR="00DF321B" w:rsidRDefault="00DF321B" w:rsidP="00DF321B">
      <w:pPr>
        <w:spacing w:after="160" w:line="252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Judge Covington gave updates on current projects. </w:t>
      </w:r>
    </w:p>
    <w:p w14:paraId="33C3CBEF" w14:textId="25818A6B" w:rsidR="00DF321B" w:rsidRPr="00DF321B" w:rsidRDefault="00DF321B" w:rsidP="00DF321B">
      <w:pPr>
        <w:spacing w:after="160" w:line="252" w:lineRule="auto"/>
        <w:rPr>
          <w:rFonts w:cs="Arial"/>
          <w:sz w:val="28"/>
        </w:rPr>
      </w:pPr>
      <w:r w:rsidRPr="00DF321B">
        <w:rPr>
          <w:rFonts w:ascii="Garamond" w:hAnsi="Garamond" w:cs="Arial"/>
          <w:sz w:val="28"/>
          <w:szCs w:val="28"/>
        </w:rPr>
        <w:t xml:space="preserve">A motion was made by Mr. </w:t>
      </w:r>
      <w:r>
        <w:rPr>
          <w:rFonts w:ascii="Garamond" w:hAnsi="Garamond" w:cs="Arial"/>
          <w:sz w:val="28"/>
          <w:szCs w:val="28"/>
        </w:rPr>
        <w:t>Corman</w:t>
      </w:r>
      <w:r w:rsidRPr="00DF321B">
        <w:rPr>
          <w:rFonts w:ascii="Garamond" w:hAnsi="Garamond" w:cs="Arial"/>
          <w:sz w:val="28"/>
          <w:szCs w:val="28"/>
        </w:rPr>
        <w:t xml:space="preserve"> with second by Mr. </w:t>
      </w:r>
      <w:r>
        <w:rPr>
          <w:rFonts w:ascii="Garamond" w:hAnsi="Garamond" w:cs="Arial"/>
          <w:sz w:val="28"/>
          <w:szCs w:val="28"/>
        </w:rPr>
        <w:t>Hostetler</w:t>
      </w:r>
      <w:r w:rsidRPr="00DF321B">
        <w:rPr>
          <w:rFonts w:ascii="Garamond" w:hAnsi="Garamond" w:cs="Arial"/>
          <w:sz w:val="28"/>
          <w:szCs w:val="28"/>
        </w:rPr>
        <w:t xml:space="preserve"> to adjourn. Court voted unanimous.</w:t>
      </w:r>
    </w:p>
    <w:p w14:paraId="39F6698C" w14:textId="77777777" w:rsidR="00964FDC" w:rsidRDefault="00964FDC" w:rsidP="00964FDC">
      <w:pPr>
        <w:pStyle w:val="Body"/>
        <w:spacing w:after="160" w:line="259" w:lineRule="auto"/>
        <w:rPr>
          <w:rFonts w:ascii="Garamond" w:eastAsia="Calibri" w:hAnsi="Garamond" w:cstheme="minorHAnsi"/>
          <w:sz w:val="28"/>
          <w:szCs w:val="28"/>
        </w:rPr>
      </w:pPr>
    </w:p>
    <w:p w14:paraId="59B1C5D3" w14:textId="3D5E84A9" w:rsidR="00964FDC" w:rsidRPr="00D12D58" w:rsidRDefault="00964FDC" w:rsidP="00D12D58">
      <w:pPr>
        <w:spacing w:after="160" w:line="252" w:lineRule="auto"/>
        <w:rPr>
          <w:rFonts w:ascii="Garamond" w:hAnsi="Garamond"/>
          <w:sz w:val="28"/>
          <w:szCs w:val="28"/>
        </w:rPr>
      </w:pPr>
    </w:p>
    <w:p w14:paraId="6E75A9A2" w14:textId="223F9B40" w:rsidR="00D12D58" w:rsidRDefault="00826C33" w:rsidP="00D12D58">
      <w:pPr>
        <w:spacing w:after="160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lastRenderedPageBreak/>
        <w:drawing>
          <wp:inline distT="0" distB="0" distL="0" distR="0" wp14:anchorId="7D33A842" wp14:editId="0881F199">
            <wp:extent cx="5943600" cy="7741920"/>
            <wp:effectExtent l="0" t="0" r="0" b="0"/>
            <wp:docPr id="982414354" name="Picture 2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14354" name="Picture 2" descr="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68A87" w14:textId="64B32A49" w:rsidR="00D5733E" w:rsidRDefault="00826C33">
      <w:r>
        <w:rPr>
          <w:noProof/>
        </w:rPr>
        <w:lastRenderedPageBreak/>
        <w:drawing>
          <wp:inline distT="0" distB="0" distL="0" distR="0" wp14:anchorId="486A20D0" wp14:editId="4011DE17">
            <wp:extent cx="5943600" cy="7741920"/>
            <wp:effectExtent l="0" t="0" r="0" b="0"/>
            <wp:docPr id="2000517577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17577" name="Picture 1" descr="Tab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saRR+JHCHix35s6Bgo+3Vfjxnj3EuZRAuT0qv+g2fjZHEq8W2c0c1MC8q6dBozxWVObXkghC48+4QaR8HUmew==" w:salt="r6vc/dtt7zUC+s4VS1xW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A7"/>
    <w:rsid w:val="00035152"/>
    <w:rsid w:val="00375936"/>
    <w:rsid w:val="00483AC7"/>
    <w:rsid w:val="00673DF9"/>
    <w:rsid w:val="006950FF"/>
    <w:rsid w:val="006A427B"/>
    <w:rsid w:val="007C5F71"/>
    <w:rsid w:val="00826C33"/>
    <w:rsid w:val="00964FDC"/>
    <w:rsid w:val="00BB4E12"/>
    <w:rsid w:val="00CC11A7"/>
    <w:rsid w:val="00CC1325"/>
    <w:rsid w:val="00CC49C6"/>
    <w:rsid w:val="00D12D58"/>
    <w:rsid w:val="00D5733E"/>
    <w:rsid w:val="00DF321B"/>
    <w:rsid w:val="00E9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FEA9"/>
  <w15:chartTrackingRefBased/>
  <w15:docId w15:val="{BA46AD48-FDBD-40A1-AE4C-5BBE66FF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D58"/>
    <w:pPr>
      <w:spacing w:after="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1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1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1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1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1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1A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1A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1A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1A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1A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1A7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1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1A7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C1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1A7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964F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</dc:creator>
  <cp:keywords/>
  <dc:description/>
  <cp:lastModifiedBy>Stacy H</cp:lastModifiedBy>
  <cp:revision>3</cp:revision>
  <dcterms:created xsi:type="dcterms:W3CDTF">2025-07-21T14:53:00Z</dcterms:created>
  <dcterms:modified xsi:type="dcterms:W3CDTF">2025-07-21T14:55:00Z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2025-06-27T15:32:16Z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530c6d1c-51aa-4183-a29f-3e8ef8646a31</vt:lpwstr>
  </property>
  <property fmtid="{D5CDD505-2E9C-101B-9397-08002B2CF9AE}" pid="7" name="MSIP_Label_defa4170-0d19-0005-0004-bc88714345d2_ActionId">
    <vt:lpwstr>1b7ef07f-a63b-4495-9083-e86e14df0ab3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